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bookmarkStart w:id="1" w:name="_GoBack"/>
      <w:bookmarkEnd w:id="1"/>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eastAsia="仿宋_GB2312" w:cs="Times New Roman"/>
          <w:color w:val="000000"/>
          <w:spacing w:val="12"/>
          <w:sz w:val="28"/>
          <w:szCs w:val="20"/>
          <w:lang w:val="en-US"/>
        </w:rPr>
        <w:t>115</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okfje5AEAAKoDAAAO&#10;AAAAZHJzL2Uyb0RvYy54bWytU8uu0zAQ3SPxD5b3NGlRLldR07u4pWwQVAI+YOpHYskv2W7T/gQ/&#10;gMQOVizZ8zdcPoOxG8oFNgiRxWTsGZ/MOT5Z3hyNJgcRonK2o/NZTYmwzHFl+46+eb15dE1JTGA5&#10;aGdFR08i0pvVwwfL0bdi4QanuQgEQWxsR9/RISXfVlVkgzAQZ84Li0XpgoGEy9BXPMCI6EZXi7q+&#10;qkYXuA+OiRhxd30u0lXBl1Kw9FLKKBLRHcXZUomhxF2O1WoJbR/AD4pNY8A/TGFAWfzoBWoNCcg+&#10;qD+gjGLBRSfTjDlTOSkVE4UDspnXv7F5NYAXhQuKE/1Fpvj/YNmLwzYQxTu6oMSCwSu6e/f569sP&#10;3768x3j36SNZZJFGH1vsvbXbMK2i34bM+CiDyW/kQo5F2NNFWHFMhOFm0zTz67qhhGHt6nGTEauf&#10;R32I6ZlwhuSko1rZzBpaODyP6dz6oyVva0tG9NriSY03ygBdIzUkTI1HHtH25XB0WvGN0jofiaHf&#10;3epADoA+2GxqfKYZfmnLX1lDHM59pZTboB0E8KeWk3TyqJBFK9M8gxGcEi3Q+TkrnQmU/ptOpK9t&#10;hhbFpRPRLPNZ2JztHD/h7ex9UP2AwqSwF2XsXERDFBEn82bH3V9jfv8XW3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zC+1ktYAAAAIAQAADwAAAAAAAAABACAAAAA4AAAAZHJzL2Rvd25yZXYueG1s&#10;UEsBAhQAFAAAAAgAh07iQCiR+N7kAQAAqgMAAA4AAAAAAAAAAQAgAAAAOwEAAGRycy9lMm9Eb2Mu&#10;eG1sUEsFBgAAAAAGAAYAWQEAAJEFAAAAAA==&#10;">
                <v:fill on="f" focussize="0,0"/>
                <v:stroke weight="1pt" color="#FF0000" joinstyle="round"/>
                <v:imagedata o:title=""/>
                <o:lock v:ext="edit" aspectratio="f"/>
              </v:line>
            </w:pict>
          </mc:Fallback>
        </mc:AlternateContent>
      </w:r>
    </w:p>
    <w:p>
      <w:pPr>
        <w:jc w:val="center"/>
        <w:rPr>
          <w:rFonts w:hint="eastAsia"/>
          <w:sz w:val="28"/>
          <w:szCs w:val="28"/>
        </w:rPr>
      </w:pPr>
    </w:p>
    <w:p>
      <w:pPr>
        <w:keepNext w:val="0"/>
        <w:keepLines w:val="0"/>
        <w:widowControl/>
        <w:suppressLineNumbers w:val="0"/>
        <w:snapToGrid w:val="0"/>
        <w:spacing w:beforeLines="0" w:afterLines="0"/>
        <w:jc w:val="center"/>
        <w:rPr>
          <w:rFonts w:hint="eastAsia" w:ascii="方正小标宋简体" w:hAnsi="方正小标宋简体" w:eastAsia="方正小标宋简体" w:cs="方正小标宋简体"/>
          <w:spacing w:val="0"/>
          <w:kern w:val="0"/>
          <w:sz w:val="44"/>
          <w:szCs w:val="20"/>
          <w:highlight w:val="none"/>
          <w:lang w:val="en-US" w:eastAsia="zh-CN" w:bidi="ar-SA"/>
        </w:rPr>
      </w:pPr>
      <w:bookmarkStart w:id="0" w:name="quanwen"/>
      <w:r>
        <w:rPr>
          <w:rFonts w:hint="eastAsia" w:ascii="方正小标宋简体" w:hAnsi="方正小标宋简体" w:eastAsia="方正小标宋简体" w:cs="方正小标宋简体"/>
          <w:spacing w:val="0"/>
          <w:kern w:val="0"/>
          <w:sz w:val="44"/>
          <w:szCs w:val="20"/>
          <w:highlight w:val="none"/>
          <w:lang w:val="en-US" w:eastAsia="zh-CN" w:bidi="ar-SA"/>
        </w:rPr>
        <w:t>关于对中兴华会计师事务所（特殊普通合伙）、黄辉、肖国强采取出具警示函措施的决定</w:t>
      </w:r>
    </w:p>
    <w:p>
      <w:pPr>
        <w:overflowPunct w:val="0"/>
        <w:snapToGrid w:val="0"/>
        <w:spacing w:beforeLines="0" w:afterLines="0" w:line="240" w:lineRule="auto"/>
        <w:ind w:firstLine="640"/>
        <w:rPr>
          <w:rFonts w:hint="eastAsia" w:ascii="方正小标宋简体" w:hAnsi="方正小标宋简体" w:eastAsia="方正小标宋简体" w:cs="方正小标宋简体"/>
          <w:kern w:val="0"/>
          <w:sz w:val="32"/>
          <w:szCs w:val="32"/>
          <w:highlight w:val="none"/>
          <w:lang w:val="en-US" w:eastAsia="zh-CN"/>
        </w:rPr>
      </w:pPr>
    </w:p>
    <w:p>
      <w:pPr>
        <w:overflowPunct w:val="0"/>
        <w:snapToGrid w:val="0"/>
        <w:spacing w:beforeLines="0" w:afterLines="0" w:line="348" w:lineRule="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中兴华会计师事务所（特殊普通合伙）、黄辉、肖国强：</w:t>
      </w:r>
    </w:p>
    <w:p>
      <w:pPr>
        <w:overflowPunct w:val="0"/>
        <w:snapToGrid w:val="0"/>
        <w:spacing w:beforeLines="0" w:afterLines="0" w:line="348" w:lineRule="auto"/>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依据《中华人民共和国证券法》的有关规定，我局对中兴华会计师事务所（特殊普通合伙，以下简称中兴华所）执业的</w:t>
      </w:r>
      <w:r>
        <w:rPr>
          <w:rFonts w:hint="eastAsia" w:ascii="仿宋_GB2312" w:eastAsia="仿宋_GB2312" w:cs="黑体"/>
          <w:spacing w:val="0"/>
          <w:kern w:val="0"/>
          <w:sz w:val="32"/>
          <w:szCs w:val="32"/>
          <w:lang w:eastAsia="zh-CN"/>
        </w:rPr>
        <w:t>广东聚石化学股份有限公司（以下简称</w:t>
      </w:r>
      <w:r>
        <w:rPr>
          <w:rFonts w:hint="eastAsia" w:ascii="仿宋_GB2312" w:eastAsia="仿宋_GB2312" w:cs="黑体"/>
          <w:spacing w:val="0"/>
          <w:kern w:val="0"/>
          <w:sz w:val="32"/>
          <w:szCs w:val="32"/>
        </w:rPr>
        <w:t>聚石化学</w:t>
      </w:r>
      <w:r>
        <w:rPr>
          <w:rFonts w:hint="eastAsia" w:ascii="仿宋_GB2312" w:eastAsia="仿宋_GB2312" w:cs="黑体"/>
          <w:spacing w:val="0"/>
          <w:kern w:val="0"/>
          <w:sz w:val="32"/>
          <w:szCs w:val="32"/>
          <w:lang w:eastAsia="zh-CN"/>
        </w:rPr>
        <w:t>）</w:t>
      </w:r>
      <w:r>
        <w:rPr>
          <w:rFonts w:hint="eastAsia" w:ascii="仿宋_GB2312" w:hAnsi="仿宋_GB2312" w:eastAsia="仿宋_GB2312" w:cs="仿宋_GB2312"/>
          <w:kern w:val="0"/>
          <w:sz w:val="32"/>
          <w:szCs w:val="32"/>
          <w:highlight w:val="none"/>
          <w:lang w:val="en-US" w:eastAsia="zh-CN"/>
        </w:rPr>
        <w:t>2022年</w:t>
      </w:r>
      <w:r>
        <w:rPr>
          <w:rFonts w:hint="eastAsia" w:ascii="仿宋_GB2312" w:hAnsi="仿宋_GB2312" w:eastAsia="仿宋_GB2312" w:cs="Times New Roman"/>
          <w:color w:val="000000"/>
          <w:spacing w:val="0"/>
          <w:kern w:val="0"/>
          <w:sz w:val="32"/>
          <w:highlight w:val="none"/>
          <w:lang w:val="en-US" w:eastAsia="zh-CN"/>
        </w:rPr>
        <w:t>年报</w:t>
      </w:r>
      <w:r>
        <w:rPr>
          <w:rFonts w:hint="eastAsia" w:ascii="仿宋_GB2312" w:hAnsi="仿宋_GB2312" w:eastAsia="仿宋_GB2312" w:cs="仿宋_GB2312"/>
          <w:kern w:val="0"/>
          <w:sz w:val="32"/>
          <w:szCs w:val="32"/>
          <w:highlight w:val="none"/>
          <w:lang w:val="en-US" w:eastAsia="zh-CN"/>
        </w:rPr>
        <w:t>审计工作进行检查。经查，你所审计执业存在以下问题：</w:t>
      </w:r>
    </w:p>
    <w:p>
      <w:pPr>
        <w:snapToGrid w:val="0"/>
        <w:spacing w:beforeLines="0" w:afterLines="0" w:line="348" w:lineRule="auto"/>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计划审计工作不规范。</w:t>
      </w:r>
      <w:r>
        <w:rPr>
          <w:rFonts w:hint="eastAsia" w:ascii="仿宋_GB2312" w:hAnsi="仿宋_GB2312" w:eastAsia="仿宋_GB2312" w:cs="仿宋_GB2312"/>
          <w:sz w:val="32"/>
          <w:szCs w:val="32"/>
        </w:rPr>
        <w:t>在审计计划阶段</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将“存货”列入关键审计事项，但是审计总结和审计报告</w:t>
      </w:r>
      <w:r>
        <w:rPr>
          <w:rFonts w:hint="eastAsia" w:ascii="仿宋_GB2312" w:hAnsi="仿宋_GB2312" w:eastAsia="仿宋_GB2312" w:cs="仿宋_GB2312"/>
          <w:sz w:val="32"/>
          <w:szCs w:val="32"/>
          <w:lang w:eastAsia="zh-CN"/>
        </w:rPr>
        <w:t>未列入</w:t>
      </w:r>
      <w:r>
        <w:rPr>
          <w:rFonts w:hint="eastAsia" w:ascii="仿宋_GB2312" w:hAnsi="仿宋_GB2312" w:eastAsia="仿宋_GB2312" w:cs="仿宋_GB2312"/>
          <w:sz w:val="32"/>
          <w:szCs w:val="32"/>
        </w:rPr>
        <w:t>，且底稿没有记录原因。上述情形不符合《中国注册会计师审计准则第1201号——计划审计工作》（2022年1月5日修订）第十一条第三项的规定。</w:t>
      </w:r>
    </w:p>
    <w:p>
      <w:pPr>
        <w:snapToGrid w:val="0"/>
        <w:spacing w:beforeLines="0" w:afterLines="0" w:line="348" w:lineRule="auto"/>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二、控制测试不规范。</w:t>
      </w:r>
      <w:r>
        <w:rPr>
          <w:rFonts w:hint="eastAsia" w:ascii="仿宋_GB2312" w:hAnsi="仿宋_GB2312" w:eastAsia="仿宋_GB2312" w:cs="仿宋_GB2312"/>
          <w:sz w:val="32"/>
          <w:szCs w:val="32"/>
        </w:rPr>
        <w:t>对本部采购和付款循环执行测试中，未对供应商的选择与审批、供应商信息维护、每月定期对账等的相关控制点进行测试；对本部销售与收款循环测试中，底稿记录</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公司计提坏账准备的控制流程，但未见获取控制对应的资料</w:t>
      </w:r>
      <w:r>
        <w:rPr>
          <w:rFonts w:hint="eastAsia" w:ascii="仿宋_GB2312" w:hAnsi="仿宋_GB2312" w:eastAsia="仿宋_GB2312" w:cs="仿宋_GB2312"/>
          <w:sz w:val="32"/>
          <w:szCs w:val="32"/>
          <w:lang w:eastAsia="zh-CN"/>
        </w:rPr>
        <w:t>进行验证；</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某重要子公司</w:t>
      </w:r>
      <w:r>
        <w:rPr>
          <w:rFonts w:hint="eastAsia" w:ascii="仿宋_GB2312" w:hAnsi="仿宋_GB2312" w:eastAsia="仿宋_GB2312" w:cs="仿宋_GB2312"/>
          <w:sz w:val="32"/>
          <w:szCs w:val="32"/>
        </w:rPr>
        <w:t>销售与收款循环测试中，未见穿行测试底稿。上述情形不符合《中国注册会计师审计准则第1211号——通过了解被审计单位及其环境识别和评估重大错报风险》（</w:t>
      </w:r>
      <w:r>
        <w:rPr>
          <w:rFonts w:hint="eastAsia" w:ascii="仿宋_GB2312" w:hAnsi="仿宋_GB2312" w:eastAsia="仿宋_GB2312" w:cs="仿宋_GB2312"/>
          <w:sz w:val="32"/>
          <w:szCs w:val="32"/>
          <w:highlight w:val="none"/>
        </w:rPr>
        <w:t>2019年2月20日修订</w:t>
      </w:r>
      <w:r>
        <w:rPr>
          <w:rFonts w:hint="eastAsia" w:ascii="仿宋_GB2312" w:hAnsi="仿宋_GB2312" w:eastAsia="仿宋_GB2312" w:cs="仿宋_GB2312"/>
          <w:sz w:val="32"/>
          <w:szCs w:val="32"/>
        </w:rPr>
        <w:t>）第十六</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rPr>
        <w:t>、《中国注册会计师审计准则第1131号——审计工作底稿》（2022年1月5日修订）第十条第二项的规定。</w:t>
      </w:r>
    </w:p>
    <w:p>
      <w:pPr>
        <w:snapToGrid w:val="0"/>
        <w:spacing w:beforeLines="0" w:afterLines="0" w:line="348" w:lineRule="auto"/>
        <w:ind w:firstLine="640" w:firstLineChars="200"/>
        <w:rPr>
          <w:rFonts w:ascii="仿宋_GB2312" w:hAnsi="仿宋_GB2312" w:eastAsia="仿宋_GB2312" w:cs="仿宋_GB2312"/>
          <w:sz w:val="32"/>
          <w:szCs w:val="32"/>
        </w:rPr>
      </w:pPr>
      <w:r>
        <w:rPr>
          <w:rFonts w:hint="eastAsia" w:ascii="黑体" w:hAnsi="黑体" w:eastAsia="黑体" w:cs="黑体"/>
          <w:b w:val="0"/>
          <w:bCs w:val="0"/>
          <w:sz w:val="32"/>
          <w:szCs w:val="32"/>
          <w:lang w:eastAsia="zh-CN"/>
        </w:rPr>
        <w:t>三、函证审计程序不规范。</w:t>
      </w:r>
      <w:r>
        <w:rPr>
          <w:rFonts w:hint="eastAsia" w:ascii="仿宋_GB2312" w:hAnsi="仿宋_GB2312" w:eastAsia="仿宋_GB2312" w:cs="仿宋_GB2312"/>
          <w:sz w:val="32"/>
          <w:szCs w:val="32"/>
        </w:rPr>
        <w:t>银行存款函证中，对</w:t>
      </w:r>
      <w:r>
        <w:rPr>
          <w:rFonts w:hint="eastAsia" w:ascii="仿宋_GB2312" w:hAnsi="仿宋_GB2312" w:eastAsia="仿宋_GB2312" w:cs="仿宋_GB2312"/>
          <w:sz w:val="32"/>
          <w:szCs w:val="32"/>
          <w:lang w:eastAsia="zh-CN"/>
        </w:rPr>
        <w:t>个别</w:t>
      </w:r>
      <w:r>
        <w:rPr>
          <w:rFonts w:hint="eastAsia" w:ascii="仿宋_GB2312" w:hAnsi="仿宋_GB2312" w:eastAsia="仿宋_GB2312" w:cs="仿宋_GB2312"/>
          <w:sz w:val="32"/>
          <w:szCs w:val="32"/>
        </w:rPr>
        <w:t>银行账户未执行函证且底稿未说明原因，对3个未回函</w:t>
      </w: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账户的情况未予关注，未执行进一步审计程序。</w:t>
      </w:r>
      <w:r>
        <w:rPr>
          <w:rFonts w:hint="eastAsia" w:ascii="仿宋_GB2312" w:hAnsi="仿宋_GB2312" w:eastAsia="仿宋_GB2312" w:cs="仿宋_GB2312"/>
          <w:b w:val="0"/>
          <w:bCs w:val="0"/>
          <w:sz w:val="32"/>
          <w:szCs w:val="32"/>
          <w:lang w:eastAsia="zh-CN"/>
        </w:rPr>
        <w:t>往来款函证中，</w:t>
      </w:r>
      <w:r>
        <w:rPr>
          <w:rFonts w:hint="eastAsia" w:ascii="仿宋_GB2312" w:hAnsi="仿宋_GB2312" w:eastAsia="仿宋_GB2312" w:cs="仿宋_GB2312"/>
          <w:sz w:val="32"/>
          <w:szCs w:val="32"/>
        </w:rPr>
        <w:t>作为首次承接业务，</w:t>
      </w:r>
      <w:r>
        <w:rPr>
          <w:rFonts w:hint="eastAsia" w:ascii="仿宋_GB2312" w:hAnsi="仿宋_GB2312" w:eastAsia="仿宋_GB2312" w:cs="仿宋_GB2312"/>
          <w:sz w:val="32"/>
          <w:szCs w:val="32"/>
          <w:lang w:eastAsia="zh-CN"/>
        </w:rPr>
        <w:t>制定的</w:t>
      </w:r>
      <w:r>
        <w:rPr>
          <w:rFonts w:hint="eastAsia" w:ascii="仿宋_GB2312" w:hAnsi="仿宋_GB2312" w:eastAsia="仿宋_GB2312" w:cs="仿宋_GB2312"/>
          <w:sz w:val="32"/>
          <w:szCs w:val="32"/>
        </w:rPr>
        <w:t>审计策略是对期初期末余额一并函证，但底稿显示对部分往来款仅函证期初余额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未函证期末余额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对部分当年新增的大额应收账款仅函证余额、未函证发生额，对部分应付账款仅函证发生额、未函证期末余额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对部分函证未回函的未执行替代测试程序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对部分回函有差异的，未在出具审计报告前核实差异的原因</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未执行进一步替代测试程序。上述情形不符合《中国注册会计师审计准则第1312号——函证》（2010年修订）第十一条、第十二条、第十三条、第十九条、第二十一条的规定。</w:t>
      </w:r>
    </w:p>
    <w:p>
      <w:pPr>
        <w:snapToGrid w:val="0"/>
        <w:spacing w:beforeLines="0" w:afterLines="0" w:line="348" w:lineRule="auto"/>
        <w:ind w:firstLine="640" w:firstLineChars="200"/>
        <w:rPr>
          <w:rFonts w:ascii="仿宋_GB2312" w:hAnsi="仿宋_GB2312" w:eastAsia="仿宋_GB2312" w:cs="仿宋_GB2312"/>
          <w:kern w:val="0"/>
          <w:sz w:val="32"/>
          <w:szCs w:val="32"/>
          <w:highlight w:val="none"/>
        </w:rPr>
      </w:pPr>
      <w:r>
        <w:rPr>
          <w:rFonts w:hint="eastAsia" w:ascii="黑体" w:hAnsi="黑体" w:eastAsia="黑体" w:cs="黑体"/>
          <w:b w:val="0"/>
          <w:bCs w:val="0"/>
          <w:kern w:val="0"/>
          <w:sz w:val="32"/>
          <w:szCs w:val="32"/>
          <w:lang w:eastAsia="zh-CN"/>
        </w:rPr>
        <w:t>四、实质性程序执行不规范。</w:t>
      </w:r>
      <w:r>
        <w:rPr>
          <w:rFonts w:hint="eastAsia" w:ascii="仿宋_GB2312" w:hAnsi="仿宋_GB2312" w:eastAsia="仿宋_GB2312" w:cs="仿宋_GB2312"/>
          <w:kern w:val="0"/>
          <w:sz w:val="32"/>
          <w:szCs w:val="32"/>
          <w:lang w:eastAsia="zh-CN"/>
        </w:rPr>
        <w:t>对聚石化学部分</w:t>
      </w:r>
      <w:r>
        <w:rPr>
          <w:rFonts w:hint="eastAsia" w:ascii="仿宋_GB2312" w:hAnsi="仿宋_GB2312" w:eastAsia="仿宋_GB2312" w:cs="仿宋_GB2312"/>
          <w:kern w:val="0"/>
          <w:sz w:val="32"/>
          <w:szCs w:val="32"/>
        </w:rPr>
        <w:t>贸易</w:t>
      </w:r>
      <w:r>
        <w:rPr>
          <w:rFonts w:hint="eastAsia" w:ascii="仿宋_GB2312" w:hAnsi="仿宋_GB2312" w:eastAsia="仿宋_GB2312" w:cs="仿宋_GB2312"/>
          <w:kern w:val="0"/>
          <w:sz w:val="32"/>
          <w:szCs w:val="32"/>
          <w:lang w:eastAsia="zh-CN"/>
        </w:rPr>
        <w:t>业务</w:t>
      </w:r>
      <w:r>
        <w:rPr>
          <w:rFonts w:hint="eastAsia" w:ascii="仿宋_GB2312" w:hAnsi="仿宋_GB2312" w:eastAsia="仿宋_GB2312" w:cs="仿宋_GB2312"/>
          <w:kern w:val="0"/>
          <w:sz w:val="32"/>
          <w:szCs w:val="32"/>
        </w:rPr>
        <w:t>收入</w:t>
      </w:r>
      <w:r>
        <w:rPr>
          <w:rFonts w:hint="eastAsia" w:ascii="仿宋_GB2312" w:hAnsi="仿宋_GB2312" w:eastAsia="仿宋_GB2312" w:cs="仿宋_GB2312"/>
          <w:kern w:val="0"/>
          <w:sz w:val="32"/>
          <w:szCs w:val="32"/>
          <w:lang w:eastAsia="zh-CN"/>
        </w:rPr>
        <w:t>的审计程序不足，对个别子公司</w:t>
      </w:r>
      <w:r>
        <w:rPr>
          <w:rFonts w:hint="eastAsia" w:ascii="仿宋_GB2312" w:hAnsi="仿宋_GB2312" w:eastAsia="仿宋_GB2312" w:cs="仿宋_GB2312"/>
          <w:kern w:val="0"/>
          <w:sz w:val="32"/>
          <w:szCs w:val="32"/>
        </w:rPr>
        <w:t>长期待摊费用</w:t>
      </w:r>
      <w:r>
        <w:rPr>
          <w:rFonts w:hint="eastAsia" w:ascii="仿宋_GB2312" w:hAnsi="仿宋_GB2312" w:eastAsia="仿宋_GB2312" w:cs="仿宋_GB2312"/>
          <w:kern w:val="0"/>
          <w:sz w:val="32"/>
          <w:szCs w:val="32"/>
          <w:lang w:eastAsia="zh-CN"/>
        </w:rPr>
        <w:t>审计程序不规范，对</w:t>
      </w:r>
      <w:r>
        <w:rPr>
          <w:rFonts w:hint="eastAsia" w:ascii="仿宋_GB2312" w:hAnsi="仿宋_GB2312" w:eastAsia="仿宋_GB2312" w:cs="仿宋_GB2312"/>
          <w:kern w:val="0"/>
          <w:sz w:val="32"/>
          <w:szCs w:val="32"/>
        </w:rPr>
        <w:t>研发费用</w:t>
      </w:r>
      <w:r>
        <w:rPr>
          <w:rFonts w:hint="eastAsia" w:ascii="仿宋_GB2312" w:hAnsi="仿宋_GB2312" w:eastAsia="仿宋_GB2312" w:cs="仿宋_GB2312"/>
          <w:kern w:val="0"/>
          <w:sz w:val="32"/>
          <w:szCs w:val="32"/>
          <w:lang w:eastAsia="zh-CN"/>
        </w:rPr>
        <w:t>相关的借款</w:t>
      </w:r>
      <w:r>
        <w:rPr>
          <w:rFonts w:hint="eastAsia" w:ascii="仿宋_GB2312" w:hAnsi="仿宋_GB2312" w:eastAsia="仿宋_GB2312" w:cs="仿宋_GB2312"/>
          <w:kern w:val="0"/>
          <w:sz w:val="32"/>
          <w:szCs w:val="32"/>
        </w:rPr>
        <w:t>利息测算</w:t>
      </w:r>
      <w:r>
        <w:rPr>
          <w:rFonts w:hint="eastAsia" w:ascii="仿宋_GB2312" w:hAnsi="仿宋_GB2312" w:eastAsia="仿宋_GB2312" w:cs="仿宋_GB2312"/>
          <w:kern w:val="0"/>
          <w:sz w:val="32"/>
          <w:szCs w:val="32"/>
          <w:lang w:eastAsia="zh-CN"/>
        </w:rPr>
        <w:t>不规范，对个别</w:t>
      </w:r>
      <w:r>
        <w:rPr>
          <w:rFonts w:hint="eastAsia" w:ascii="仿宋_GB2312" w:hAnsi="仿宋_GB2312" w:eastAsia="仿宋_GB2312" w:cs="仿宋_GB2312"/>
          <w:kern w:val="0"/>
          <w:sz w:val="32"/>
          <w:szCs w:val="32"/>
        </w:rPr>
        <w:t>逾期应收款项信用减值</w:t>
      </w:r>
      <w:r>
        <w:rPr>
          <w:rFonts w:hint="eastAsia" w:ascii="仿宋_GB2312" w:hAnsi="仿宋_GB2312" w:eastAsia="仿宋_GB2312" w:cs="仿宋_GB2312"/>
          <w:kern w:val="0"/>
          <w:sz w:val="32"/>
          <w:szCs w:val="32"/>
          <w:lang w:eastAsia="zh-CN"/>
        </w:rPr>
        <w:t>计提情况的核查程序不足，底稿中对个别公司</w:t>
      </w:r>
      <w:r>
        <w:rPr>
          <w:rFonts w:hint="eastAsia" w:ascii="仿宋_GB2312" w:hAnsi="仿宋_GB2312" w:eastAsia="仿宋_GB2312" w:cs="仿宋_GB2312"/>
          <w:kern w:val="0"/>
          <w:sz w:val="32"/>
          <w:szCs w:val="32"/>
        </w:rPr>
        <w:t>货币资金、应收账款的截止性测试抽样方法</w:t>
      </w:r>
      <w:r>
        <w:rPr>
          <w:rFonts w:hint="eastAsia" w:ascii="仿宋_GB2312" w:hAnsi="仿宋_GB2312" w:eastAsia="仿宋_GB2312" w:cs="仿宋_GB2312"/>
          <w:kern w:val="0"/>
          <w:sz w:val="32"/>
          <w:szCs w:val="32"/>
          <w:lang w:eastAsia="zh-CN"/>
        </w:rPr>
        <w:t>记录有误</w:t>
      </w:r>
      <w:r>
        <w:rPr>
          <w:rFonts w:hint="eastAsia" w:ascii="仿宋_GB2312" w:hAnsi="仿宋_GB2312" w:eastAsia="仿宋_GB2312" w:cs="仿宋_GB2312"/>
          <w:kern w:val="0"/>
          <w:sz w:val="32"/>
          <w:szCs w:val="32"/>
        </w:rPr>
        <w:t>。上述情形不符合《中国注册会计师审计准则第1101号——注册会计师的总体目标和审计工作的基本要求》第二十八条（2022年1月5日修订）、《中国注册会计师审计准则第1131号——审计工作底稿》（2022年1月5日修订）第十条第二项、《中国注册会计师审计准则第1301号——审计证据》（20</w:t>
      </w:r>
      <w:r>
        <w:rPr>
          <w:rFonts w:hint="eastAsia" w:ascii="仿宋_GB2312" w:hAnsi="仿宋_GB2312" w:eastAsia="仿宋_GB2312" w:cs="仿宋_GB2312"/>
          <w:kern w:val="0"/>
          <w:sz w:val="32"/>
          <w:szCs w:val="32"/>
          <w:highlight w:val="none"/>
        </w:rPr>
        <w:t>16年12月23日修订）第十条的规定。</w:t>
      </w:r>
    </w:p>
    <w:p>
      <w:pPr>
        <w:overflowPunct w:val="0"/>
        <w:snapToGrid w:val="0"/>
        <w:spacing w:beforeLines="0" w:afterLines="0" w:line="348" w:lineRule="auto"/>
        <w:ind w:firstLine="640"/>
        <w:rPr>
          <w:rFonts w:hint="eastAsia" w:ascii="仿宋_GB2312" w:hAnsi="仿宋_GB2312" w:eastAsia="仿宋_GB2312" w:cs="Times New Roman"/>
          <w:color w:val="000000"/>
          <w:spacing w:val="0"/>
          <w:kern w:val="0"/>
          <w:sz w:val="32"/>
          <w:highlight w:val="none"/>
          <w:lang w:val="en-US" w:eastAsia="zh-CN"/>
        </w:rPr>
      </w:pPr>
      <w:r>
        <w:rPr>
          <w:rFonts w:hint="eastAsia" w:ascii="仿宋_GB2312" w:hAnsi="仿宋_GB2312" w:eastAsia="仿宋_GB2312" w:cs="Times New Roman"/>
          <w:color w:val="000000"/>
          <w:spacing w:val="0"/>
          <w:kern w:val="0"/>
          <w:sz w:val="32"/>
          <w:highlight w:val="none"/>
          <w:lang w:val="en-US" w:eastAsia="zh-CN"/>
        </w:rPr>
        <w:t>上述行为</w:t>
      </w:r>
      <w:r>
        <w:rPr>
          <w:rFonts w:hint="eastAsia" w:ascii="仿宋_GB2312" w:hAnsi="仿宋_GB2312" w:eastAsia="仿宋_GB2312" w:cs="Times New Roman"/>
          <w:color w:val="000000"/>
          <w:spacing w:val="0"/>
          <w:kern w:val="0"/>
          <w:sz w:val="32"/>
          <w:highlight w:val="none"/>
          <w:lang w:eastAsia="zh-CN"/>
        </w:rPr>
        <w:t>违反了《上市公司信息披露管理办法》（证监会令第182号，下同）第四十五条第一款、第四十六条的规定。</w:t>
      </w:r>
      <w:r>
        <w:rPr>
          <w:rFonts w:hint="eastAsia" w:ascii="仿宋_GB2312" w:hAnsi="仿宋_GB2312" w:eastAsia="仿宋_GB2312" w:cs="仿宋_GB2312"/>
          <w:kern w:val="0"/>
          <w:sz w:val="32"/>
          <w:szCs w:val="32"/>
          <w:highlight w:val="none"/>
          <w:lang w:val="en-US" w:eastAsia="zh-CN"/>
        </w:rPr>
        <w:t>黄辉、肖国强</w:t>
      </w:r>
      <w:r>
        <w:rPr>
          <w:rFonts w:hint="eastAsia" w:ascii="仿宋_GB2312" w:hAnsi="仿宋_GB2312" w:eastAsia="仿宋_GB2312" w:cs="Times New Roman"/>
          <w:color w:val="000000"/>
          <w:spacing w:val="0"/>
          <w:kern w:val="0"/>
          <w:sz w:val="32"/>
          <w:highlight w:val="none"/>
          <w:lang w:val="en-US" w:eastAsia="zh-CN"/>
        </w:rPr>
        <w:t>作为聚石化学2022年年报审计项目的签字注册会计师，对相关违规行为负有主要责任。</w:t>
      </w:r>
    </w:p>
    <w:p>
      <w:pPr>
        <w:overflowPunct w:val="0"/>
        <w:adjustRightInd w:val="0"/>
        <w:snapToGrid w:val="0"/>
        <w:spacing w:beforeLines="0" w:afterLines="0" w:line="348" w:lineRule="auto"/>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Times New Roman"/>
          <w:color w:val="000000"/>
          <w:spacing w:val="0"/>
          <w:kern w:val="0"/>
          <w:sz w:val="32"/>
          <w:highlight w:val="none"/>
          <w:lang w:eastAsia="zh-CN"/>
        </w:rPr>
        <w:t>根据《上市公司信息披露管理办法》第五十五条的规定，我局决定对中兴华所、</w:t>
      </w:r>
      <w:r>
        <w:rPr>
          <w:rFonts w:hint="eastAsia" w:ascii="仿宋_GB2312" w:hAnsi="仿宋_GB2312" w:eastAsia="仿宋_GB2312" w:cs="仿宋_GB2312"/>
          <w:kern w:val="0"/>
          <w:sz w:val="32"/>
          <w:szCs w:val="32"/>
          <w:highlight w:val="none"/>
          <w:lang w:val="en-US" w:eastAsia="zh-CN"/>
        </w:rPr>
        <w:t>黄辉、肖国强</w:t>
      </w:r>
      <w:r>
        <w:rPr>
          <w:rFonts w:hint="eastAsia" w:ascii="仿宋_GB2312" w:hAnsi="仿宋_GB2312" w:eastAsia="仿宋_GB2312" w:cs="Times New Roman"/>
          <w:color w:val="000000"/>
          <w:spacing w:val="0"/>
          <w:kern w:val="0"/>
          <w:sz w:val="32"/>
          <w:highlight w:val="none"/>
          <w:lang w:eastAsia="zh-CN"/>
        </w:rPr>
        <w:t>采取出具警示函的行政监管措施。</w:t>
      </w:r>
      <w:r>
        <w:rPr>
          <w:rFonts w:hint="eastAsia" w:ascii="仿宋_GB2312" w:hAnsi="仿宋_GB2312" w:eastAsia="仿宋_GB2312" w:cs="仿宋_GB2312"/>
          <w:kern w:val="0"/>
          <w:sz w:val="32"/>
          <w:szCs w:val="32"/>
          <w:highlight w:val="none"/>
        </w:rPr>
        <w:t>你们</w:t>
      </w:r>
      <w:r>
        <w:rPr>
          <w:rFonts w:hint="eastAsia" w:ascii="仿宋_GB2312" w:hAnsi="仿宋_GB2312" w:eastAsia="仿宋_GB2312"/>
          <w:kern w:val="0"/>
          <w:sz w:val="32"/>
          <w:highlight w:val="none"/>
        </w:rPr>
        <w:t>应认真吸取教训，</w:t>
      </w:r>
      <w:r>
        <w:rPr>
          <w:rFonts w:hint="eastAsia" w:ascii="仿宋_GB2312" w:hAnsi="仿宋_GB2312" w:eastAsia="仿宋_GB2312"/>
          <w:kern w:val="0"/>
          <w:sz w:val="32"/>
          <w:highlight w:val="none"/>
          <w:lang w:eastAsia="zh-CN"/>
        </w:rPr>
        <w:t>采取措施加强质量管理，确保审计执业质量，</w:t>
      </w:r>
      <w:r>
        <w:rPr>
          <w:rFonts w:hint="eastAsia" w:ascii="仿宋_GB2312" w:hAnsi="仿宋_GB2312" w:eastAsia="仿宋_GB2312" w:cs="仿宋_GB2312"/>
          <w:color w:val="000000"/>
          <w:spacing w:val="0"/>
          <w:kern w:val="0"/>
          <w:sz w:val="32"/>
          <w:szCs w:val="32"/>
          <w:lang w:eastAsia="zh-CN"/>
        </w:rPr>
        <w:t>严格遵照相关法律法规和中国注册会计师审计准则的规定做好整改工作，</w:t>
      </w:r>
      <w:r>
        <w:rPr>
          <w:rFonts w:hint="eastAsia" w:ascii="仿宋_GB2312" w:hAnsi="仿宋_GB2312" w:eastAsia="仿宋_GB2312"/>
          <w:kern w:val="0"/>
          <w:sz w:val="32"/>
          <w:highlight w:val="none"/>
          <w:lang w:eastAsia="zh-CN"/>
        </w:rPr>
        <w:t>在收到本决定书之日起</w:t>
      </w:r>
      <w:r>
        <w:rPr>
          <w:rFonts w:hint="eastAsia" w:ascii="仿宋_GB2312" w:hAnsi="仿宋_GB2312" w:eastAsia="仿宋_GB2312"/>
          <w:kern w:val="0"/>
          <w:sz w:val="32"/>
          <w:highlight w:val="none"/>
          <w:lang w:val="en-US" w:eastAsia="zh-CN"/>
        </w:rPr>
        <w:t>30个工作日内向我局提交整改情况的书面报告。</w:t>
      </w:r>
    </w:p>
    <w:p>
      <w:pPr>
        <w:overflowPunct w:val="0"/>
        <w:adjustRightInd w:val="0"/>
        <w:snapToGrid w:val="0"/>
        <w:spacing w:beforeLines="0" w:afterLines="0" w:line="348" w:lineRule="auto"/>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pStyle w:val="8"/>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10</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22</w:t>
      </w:r>
      <w:r>
        <w:rPr>
          <w:rFonts w:hint="eastAsia" w:ascii="仿宋_GB2312" w:hAnsi="Times New Roman" w:eastAsia="仿宋_GB2312" w:cs="Times New Roman"/>
          <w:color w:val="000000"/>
          <w:spacing w:val="10"/>
          <w:sz w:val="32"/>
          <w:szCs w:val="32"/>
        </w:rPr>
        <w:t>日</w:t>
      </w: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snapToGrid w:val="0"/>
        <w:spacing w:line="360" w:lineRule="auto"/>
        <w:ind w:right="28"/>
        <w:jc w:val="left"/>
        <w:rPr>
          <w:rFonts w:hint="eastAsia" w:ascii="黑体" w:eastAsia="黑体" w:cs="Times New Roman"/>
          <w:spacing w:val="8"/>
          <w:sz w:val="32"/>
          <w:szCs w:val="32"/>
        </w:rPr>
      </w:pPr>
    </w:p>
    <w:p>
      <w:pPr>
        <w:pStyle w:val="2"/>
        <w:snapToGrid w:val="0"/>
        <w:spacing w:line="360" w:lineRule="auto"/>
        <w:ind w:firstLine="0"/>
        <w:rPr>
          <w:rFonts w:hint="eastAsia"/>
          <w:sz w:val="32"/>
          <w:szCs w:val="40"/>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eastAsia="长城仿宋"/>
          <w:sz w:val="28"/>
        </w:rPr>
      </w:pPr>
      <w:r>
        <w:rPr>
          <w:rFonts w:hint="eastAsia" w:ascii="仿宋_GB2312" w:eastAsia="仿宋_GB2312"/>
          <w:spacing w:val="8"/>
          <w:sz w:val="28"/>
        </w:rPr>
        <w:t>抄送：证监会会计司、上市司、法治司，上海证券交易所。</w:t>
      </w:r>
    </w:p>
    <w:p>
      <w:pPr>
        <w:pBdr>
          <w:top w:val="single" w:color="auto" w:sz="4" w:space="6"/>
        </w:pBdr>
        <w:adjustRightInd w:val="0"/>
        <w:snapToGrid w:val="0"/>
        <w:spacing w:after="109" w:afterLines="35"/>
        <w:ind w:firstLine="318"/>
        <w:jc w:val="left"/>
        <w:rPr>
          <w:rFonts w:hint="eastAsia" w:ascii="仿宋_GB2312" w:eastAsia="仿宋_GB2312"/>
          <w:spacing w:val="8"/>
          <w:sz w:val="28"/>
        </w:rPr>
      </w:pPr>
      <w:r>
        <w:rPr>
          <w:rFonts w:hint="eastAsia" w:ascii="仿宋_GB2312" w:eastAsia="仿宋_GB2312"/>
          <w:spacing w:val="8"/>
          <w:sz w:val="28"/>
        </w:rPr>
        <w:t xml:space="preserve">广东证监局办公室       </w:t>
      </w:r>
      <w:r>
        <w:rPr>
          <w:rFonts w:hint="default" w:ascii="仿宋_GB2312" w:eastAsia="仿宋_GB2312"/>
          <w:spacing w:val="8"/>
          <w:sz w:val="28"/>
          <w:lang w:val="en-US"/>
        </w:rPr>
        <w:t xml:space="preserve">  </w:t>
      </w:r>
      <w:r>
        <w:rPr>
          <w:rFonts w:hint="eastAsia" w:ascii="仿宋_GB2312" w:eastAsia="仿宋_GB2312"/>
          <w:spacing w:val="8"/>
          <w:sz w:val="28"/>
        </w:rPr>
        <w:t xml:space="preserve"> </w:t>
      </w:r>
      <w:r>
        <w:rPr>
          <w:rFonts w:hint="eastAsia" w:ascii="仿宋_GB2312" w:eastAsia="仿宋_GB2312"/>
          <w:spacing w:val="8"/>
          <w:sz w:val="28"/>
          <w:lang w:val="en-US" w:eastAsia="zh-CN"/>
        </w:rPr>
        <w:t xml:space="preserve"> </w:t>
      </w:r>
      <w:r>
        <w:rPr>
          <w:rFonts w:hint="eastAsia" w:ascii="仿宋_GB2312" w:eastAsia="仿宋_GB2312"/>
          <w:spacing w:val="8"/>
          <w:sz w:val="28"/>
        </w:rPr>
        <w:t xml:space="preserve">   </w:t>
      </w:r>
      <w:r>
        <w:rPr>
          <w:rFonts w:hint="default" w:ascii="仿宋_GB2312" w:eastAsia="仿宋_GB2312"/>
          <w:spacing w:val="8"/>
          <w:sz w:val="28"/>
          <w:lang w:val="en-US"/>
        </w:rPr>
        <w:t xml:space="preserve">    </w:t>
      </w:r>
      <w:r>
        <w:rPr>
          <w:rFonts w:hint="default" w:ascii="仿宋_GB2312" w:eastAsia="仿宋_GB2312"/>
          <w:spacing w:val="8"/>
          <w:sz w:val="28"/>
          <w:lang w:val="en" w:eastAsia="zh-CN"/>
        </w:rPr>
        <w:t>202</w:t>
      </w:r>
      <w:r>
        <w:rPr>
          <w:rFonts w:hint="default" w:ascii="仿宋_GB2312" w:eastAsia="仿宋_GB2312"/>
          <w:spacing w:val="8"/>
          <w:sz w:val="28"/>
          <w:lang w:val="en-US" w:eastAsia="zh-CN"/>
        </w:rPr>
        <w:t>5</w:t>
      </w:r>
      <w:r>
        <w:rPr>
          <w:rFonts w:hint="eastAsia" w:ascii="仿宋_GB2312" w:eastAsia="仿宋_GB2312"/>
          <w:spacing w:val="8"/>
          <w:sz w:val="28"/>
        </w:rPr>
        <w:t>年</w:t>
      </w:r>
      <w:r>
        <w:rPr>
          <w:rFonts w:hint="default" w:ascii="仿宋_GB2312" w:eastAsia="仿宋_GB2312"/>
          <w:spacing w:val="8"/>
          <w:sz w:val="28"/>
          <w:lang w:val="en-US" w:eastAsia="zh-CN"/>
        </w:rPr>
        <w:t>1</w:t>
      </w:r>
      <w:r>
        <w:rPr>
          <w:rFonts w:hint="eastAsia" w:ascii="仿宋_GB2312" w:eastAsia="仿宋_GB2312"/>
          <w:spacing w:val="8"/>
          <w:sz w:val="28"/>
          <w:lang w:val="en-US" w:eastAsia="zh-CN"/>
        </w:rPr>
        <w:t>0</w:t>
      </w:r>
      <w:r>
        <w:rPr>
          <w:rFonts w:hint="eastAsia" w:ascii="仿宋_GB2312" w:eastAsia="仿宋_GB2312"/>
          <w:spacing w:val="8"/>
          <w:sz w:val="28"/>
        </w:rPr>
        <w:t>月</w:t>
      </w:r>
      <w:r>
        <w:rPr>
          <w:rFonts w:hint="default" w:ascii="仿宋_GB2312" w:eastAsia="仿宋_GB2312"/>
          <w:spacing w:val="8"/>
          <w:sz w:val="28"/>
          <w:lang w:val="en-US" w:eastAsia="zh-CN"/>
        </w:rPr>
        <w:t>22</w:t>
      </w:r>
      <w:r>
        <w:rPr>
          <w:rFonts w:hint="eastAsia" w:ascii="仿宋_GB2312" w:eastAsia="仿宋_GB2312"/>
          <w:spacing w:val="8"/>
          <w:sz w:val="28"/>
        </w:rPr>
        <w:t>日印发</w:t>
      </w:r>
    </w:p>
    <w:p>
      <w:pPr>
        <w:pBdr>
          <w:top w:val="single" w:color="auto" w:sz="8" w:space="7"/>
        </w:pBdr>
        <w:overflowPunct w:val="0"/>
        <w:adjustRightInd w:val="0"/>
        <w:snapToGrid w:val="0"/>
        <w:spacing w:beforeLines="0" w:after="0" w:afterLines="0"/>
        <w:ind w:firstLine="0"/>
        <w:jc w:val="left"/>
        <w:rPr>
          <w:rFonts w:hint="eastAsia" w:ascii="仿宋_GB2312" w:eastAsia="仿宋_GB2312"/>
          <w:spacing w:val="8"/>
          <w:sz w:val="2"/>
          <w:szCs w:val="2"/>
        </w:rPr>
      </w:pPr>
    </w:p>
    <w:bookmarkEnd w:id="0"/>
    <w:p>
      <w:pPr>
        <w:snapToGrid w:val="0"/>
        <w:spacing w:beforeLines="0" w:afterLines="0"/>
        <w:rPr>
          <w:sz w:val="2"/>
          <w:szCs w:val="2"/>
        </w:rPr>
      </w:pPr>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仿宋">
    <w:altName w:val="宋体"/>
    <w:panose1 w:val="02010609000101010101"/>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CEB721B"/>
    <w:rsid w:val="263F3D2A"/>
    <w:rsid w:val="397B4DD4"/>
    <w:rsid w:val="6D4A59AC"/>
    <w:rsid w:val="707BD5F5"/>
    <w:rsid w:val="716F6AB4"/>
    <w:rsid w:val="9CEB721B"/>
    <w:rsid w:val="ABB7E2F3"/>
    <w:rsid w:val="EEF744B9"/>
    <w:rsid w:val="F7BB8B3A"/>
    <w:rsid w:val="FF395971"/>
    <w:rsid w:val="FF6950D3"/>
    <w:rsid w:val="FFBFA31B"/>
    <w:rsid w:val="FFEDEFFC"/>
    <w:rsid w:val="FFF3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p0"/>
    <w:basedOn w:val="1"/>
    <w:qFormat/>
    <w:uiPriority w:val="0"/>
    <w:pPr>
      <w:widowControl/>
    </w:pPr>
    <w:rPr>
      <w:rFonts w:hint="eastAsia"/>
    </w:rPr>
  </w:style>
  <w:style w:type="paragraph" w:customStyle="1" w:styleId="9">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2025-10-15T16:14:00Z</dcterms:created>
  <dc:creator>陈欣欣</dc:creator>
  <cp:lastModifiedBy>陈欣欣</cp:lastModifiedBy>
  <dcterms:modified xsi:type="dcterms:W3CDTF">2025-10-27T09:11:49Z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395DCC6506104B58515AF068A2A4FB8F</vt:lpwstr>
  </property>
</Properties>
</file>